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6D1509" w:rsidRPr="006D1509" w:rsidRDefault="006D1509" w:rsidP="006D150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</w:t>
      </w:r>
      <w:r w:rsidRPr="006D1509">
        <w:rPr>
          <w:b/>
          <w:bCs/>
          <w:color w:val="333333"/>
          <w:sz w:val="28"/>
          <w:szCs w:val="28"/>
        </w:rPr>
        <w:t>орядок оплаты труда в выходные и праздничные дни</w:t>
      </w:r>
    </w:p>
    <w:p w:rsidR="006D1509" w:rsidRPr="006D1509" w:rsidRDefault="006D1509" w:rsidP="006D150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D1509">
        <w:rPr>
          <w:color w:val="000000"/>
          <w:sz w:val="28"/>
          <w:szCs w:val="28"/>
        </w:rPr>
        <w:t> </w:t>
      </w:r>
      <w:proofErr w:type="spellStart"/>
      <w:r w:rsidRPr="006D1509">
        <w:rPr>
          <w:color w:val="FFFFFF"/>
          <w:sz w:val="28"/>
          <w:szCs w:val="28"/>
        </w:rPr>
        <w:t>Текстелиться</w:t>
      </w:r>
      <w:proofErr w:type="spellEnd"/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В соответствии с ч.3 ст. 37 Конституции Российской Федерации каждый имеет право на труд в условиях, отвечающих требованиям безопасности и гигиены, на вознаграждение за труд без какой бы то ни было дискриминации.Работа в выходные и нерабочие праздничные дни запрещена (статья 113 ТК РФ), к исключительным случаям привлечения работников к работе в указанные дни относится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погрузочно-разгрузочных работ.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В зависимости от конкретных обстоятельств работодатель может привлекать работников к работе в выходные и нерабочие праздничные дни либо без их согласия, либо только с письменного согласия работника, а в отдельных случаях с письменного согласия работника и с учетом мнения выборного органа первичной профсоюзной организации. Привлечение работников к работе в выходные и нерабочие праздничные дни без их согласия допускается для предотвращения катастрофы, производственной аварии либо устранения последствий катастрофы, производственной аварии или стихийного бедствия; предотвращения несчастных случаев, уничтожения или порчи имущества работодателя, государственного или муниципального имущества;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Работа в выходной или нерабочий праздничный день оплачивается не менее чем в двойном размере (статья 153 ТК РФ):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-сдельщикам - не менее чем по двойным сдельным расценкам;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-работникам, получающим оклад (должностной оклад), - в размере не менее одинарной дневной или часовой ставки - части оклада за день или час работы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сверх оклада (должностного оклада), если работа производилась сверх месячной нормы рабочего времени.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 xml:space="preserve">Конкретные размеры оплаты устанавливаются в коллективном договоре, локальном нормативном акте, который в этом случае должен приниматься с учетом мнения представительного органа работников. Они могут быть повышены и по соглашению сторон трудового договора. Под </w:t>
      </w:r>
      <w:r w:rsidRPr="006D1509">
        <w:rPr>
          <w:color w:val="333333"/>
          <w:sz w:val="28"/>
          <w:szCs w:val="28"/>
        </w:rPr>
        <w:lastRenderedPageBreak/>
        <w:t>окладом (должностным окладом) понимается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Согласно правовой позиции, изложенной в Постановлении Конституционного Суда Российской Федерации от 28.08.2018 № 26-П, оплата труда работников, привлекавшихся к работе в выходные и (или) нерабочие праздничные дни, включает в себя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все компенсационные и стимулирующие выплаты, предусмотренные установленной для них системой оплаты труда.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6D1509">
        <w:rPr>
          <w:color w:val="333333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34704" w:rsidRPr="00687BC3" w:rsidRDefault="00034704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390F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A522B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2020-12-28T18:19:00Z</dcterms:created>
  <dcterms:modified xsi:type="dcterms:W3CDTF">2020-12-30T09:46:00Z</dcterms:modified>
</cp:coreProperties>
</file>